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14.01.2019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100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4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служби у справах дітей про підтвердження місця проживання дитини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виїзду</w:t>
            </w:r>
            <w:r>
              <w:rPr>
                <w:spacing w:val="43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межі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78" w:val="left" w:leader="none"/>
                <w:tab w:pos="1470" w:val="left" w:leader="none"/>
                <w:tab w:pos="1764" w:val="left" w:leader="none"/>
                <w:tab w:pos="2580" w:val="left" w:leader="none"/>
              </w:tabs>
              <w:spacing w:line="271" w:lineRule="auto"/>
              <w:ind w:left="30" w:right="1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постійно </w:t>
            </w:r>
            <w:r>
              <w:rPr>
                <w:spacing w:val="-2"/>
                <w:sz w:val="17"/>
              </w:rPr>
              <w:t>діючу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комісію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з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надання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матеріальної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допомоги</w:t>
            </w:r>
          </w:p>
        </w:tc>
        <w:tc>
          <w:tcPr>
            <w:tcW w:w="764" w:type="dxa"/>
          </w:tcPr>
          <w:p>
            <w:pPr>
              <w:pStyle w:val="TableParagraph"/>
              <w:ind w:left="1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2"/>
        </w:rPr>
        <w:t>дитини</w:t>
      </w:r>
    </w:p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2021-11-04T04:02:17Z</dcterms:created>
  <dcterms:modified xsi:type="dcterms:W3CDTF">2021-11-04T04:02:17Z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